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31" w:rsidRPr="00861C53" w:rsidRDefault="00DE1931" w:rsidP="00582A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 w:rsidRPr="00861C53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СЪОБЩЕНИЕ</w:t>
      </w:r>
    </w:p>
    <w:p w:rsidR="00DE1931" w:rsidRPr="00861C53" w:rsidRDefault="00DE1931" w:rsidP="00582A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</w:p>
    <w:p w:rsidR="00DE1931" w:rsidRDefault="00DE1931" w:rsidP="00582A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861C53">
        <w:rPr>
          <w:rFonts w:ascii="Times New Roman" w:hAnsi="Times New Roman" w:cs="Times New Roman"/>
          <w:sz w:val="24"/>
          <w:szCs w:val="24"/>
          <w:lang w:eastAsia="bg-BG"/>
        </w:rPr>
        <w:t xml:space="preserve">На интернет страницата на Висшия съдебен съвет е публикуван </w:t>
      </w:r>
      <w:hyperlink r:id="rId5" w:history="1">
        <w:r w:rsidRPr="00861C53">
          <w:rPr>
            <w:rFonts w:ascii="Times New Roman" w:hAnsi="Times New Roman" w:cs="Times New Roman"/>
            <w:b/>
            <w:bCs/>
            <w:sz w:val="24"/>
            <w:szCs w:val="24"/>
            <w:u w:val="single"/>
            <w:lang w:eastAsia="bg-BG"/>
          </w:rPr>
          <w:t>Доклад за Модел 4</w:t>
        </w:r>
      </w:hyperlink>
      <w:r w:rsidRPr="00861C53">
        <w:rPr>
          <w:rFonts w:ascii="Times New Roman" w:hAnsi="Times New Roman" w:cs="Times New Roman"/>
          <w:sz w:val="24"/>
          <w:szCs w:val="24"/>
          <w:lang w:eastAsia="bg-BG"/>
        </w:rPr>
        <w:t xml:space="preserve"> и приложения към него, разработен в рамките на Дейност 1 „Разработване на модел за оптимизация на съдебната карта на българските съдилища и прокуратури“ по проект „Създаване на модел за оптимизация на съдебната карта на българските съдилища и прокуратури и разработване на Единна информационна система на съдилищата”, изпълняван от ВСС по Оперативна програма „Добро управление“ 2014-2020 г.</w:t>
      </w:r>
    </w:p>
    <w:p w:rsidR="00DE1931" w:rsidRPr="00861C53" w:rsidRDefault="00DE1931" w:rsidP="00582A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DE1931" w:rsidRPr="00861C53" w:rsidRDefault="00DE1931" w:rsidP="00582A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861C53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Съгласно решение по извънредна точка Д.2. от протокол № 16/18.05.2021 г. на СК на ВСС, </w:t>
      </w:r>
      <w:r w:rsidRPr="00E95E4B">
        <w:rPr>
          <w:rFonts w:ascii="Times New Roman" w:hAnsi="Times New Roman" w:cs="Times New Roman"/>
          <w:color w:val="000000"/>
          <w:sz w:val="24"/>
          <w:szCs w:val="24"/>
          <w:u w:val="single"/>
          <w:lang w:eastAsia="bg-BG"/>
        </w:rPr>
        <w:t xml:space="preserve">на заинтересованите лица е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bg-BG"/>
        </w:rPr>
        <w:t>предоставена</w:t>
      </w:r>
      <w:r w:rsidRPr="00E95E4B">
        <w:rPr>
          <w:rFonts w:ascii="Times New Roman" w:hAnsi="Times New Roman" w:cs="Times New Roman"/>
          <w:color w:val="000000"/>
          <w:sz w:val="24"/>
          <w:szCs w:val="24"/>
          <w:u w:val="single"/>
          <w:lang w:eastAsia="bg-BG"/>
        </w:rPr>
        <w:t xml:space="preserve"> възможност до 10.06.2021 г.</w:t>
      </w:r>
      <w:r w:rsidRPr="00861C53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да изразяват писмени становища и да задават въпроси по публикувания доклад и приложенията към него, които да бъдат публикувани на сайта на ВСС.</w:t>
      </w:r>
    </w:p>
    <w:p w:rsidR="00DE1931" w:rsidRPr="00861C53" w:rsidRDefault="00DE1931" w:rsidP="00582A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861C53">
        <w:rPr>
          <w:rFonts w:ascii="Times New Roman" w:hAnsi="Times New Roman" w:cs="Times New Roman"/>
          <w:color w:val="000000"/>
          <w:sz w:val="24"/>
          <w:szCs w:val="24"/>
          <w:lang w:eastAsia="bg-BG"/>
        </w:rPr>
        <w:pict>
          <v:rect id="_x0000_i1025" style="width:0;height:1.5pt" o:hralign="center" o:hrstd="t" o:hr="t" fillcolor="#a0a0a0" stroked="f"/>
        </w:pict>
      </w:r>
    </w:p>
    <w:p w:rsidR="00DE1931" w:rsidRPr="00861C53" w:rsidRDefault="00DE1931" w:rsidP="00582A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DE1931" w:rsidRPr="00861C53" w:rsidRDefault="00DE1931" w:rsidP="007D40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bg-BG"/>
        </w:rPr>
      </w:pPr>
      <w:r w:rsidRPr="00861C5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bg-BG"/>
        </w:rPr>
        <w:t>Същност на реформата</w:t>
      </w:r>
    </w:p>
    <w:p w:rsidR="00DE1931" w:rsidRPr="00861C53" w:rsidRDefault="00DE1931" w:rsidP="007D40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eastAsia="bg-BG"/>
        </w:rPr>
      </w:pPr>
    </w:p>
    <w:p w:rsidR="00DE1931" w:rsidRPr="00861C53" w:rsidRDefault="00DE1931" w:rsidP="007D401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</w:pPr>
      <w:r w:rsidRPr="00A86E32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>Промяна на подсъдност по граждански дела</w:t>
      </w: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- </w:t>
      </w:r>
      <w:r w:rsidRPr="00861C53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На районен ще останат подсъдни всички искове по граждански дела с цена на иска до 2</w:t>
      </w: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861C53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000 лв., промяна в родовата подсъдност на вещните дела (без делбите и тези по Закона за наследството), както и на делата по СК (само  за развод по исков ред и недействителност на брака), като последните две групи дела станат подсъдни на ОС като първа инстанция. </w:t>
      </w:r>
    </w:p>
    <w:p w:rsidR="00DE1931" w:rsidRDefault="00DE1931" w:rsidP="00E95E4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E32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Промяна на подсъдност 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>наказателни</w:t>
      </w:r>
      <w:r w:rsidRPr="00A86E32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дела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-</w:t>
      </w:r>
      <w:r w:rsidRPr="00861C53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По отношение на наказателните дела, предложението е тези с по</w:t>
      </w: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861C53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861C53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висока фактическа и правна сложност да </w:t>
      </w: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бъдат прехвърлени на</w:t>
      </w:r>
      <w:r w:rsidRPr="00861C53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окръжен съд, като първа инстанция. Това са</w:t>
      </w: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н</w:t>
      </w:r>
      <w:r w:rsidRPr="00861C53">
        <w:rPr>
          <w:rFonts w:ascii="Times New Roman" w:hAnsi="Times New Roman" w:cs="Times New Roman"/>
          <w:sz w:val="24"/>
          <w:szCs w:val="24"/>
        </w:rPr>
        <w:t>аказателни</w:t>
      </w:r>
      <w:r>
        <w:rPr>
          <w:rFonts w:ascii="Times New Roman" w:hAnsi="Times New Roman" w:cs="Times New Roman"/>
          <w:sz w:val="24"/>
          <w:szCs w:val="24"/>
        </w:rPr>
        <w:t>те дела</w:t>
      </w:r>
      <w:r w:rsidRPr="00861C53">
        <w:rPr>
          <w:rFonts w:ascii="Times New Roman" w:hAnsi="Times New Roman" w:cs="Times New Roman"/>
          <w:sz w:val="24"/>
          <w:szCs w:val="24"/>
        </w:rPr>
        <w:t xml:space="preserve"> по</w:t>
      </w:r>
    </w:p>
    <w:p w:rsidR="00DE1931" w:rsidRDefault="00DE1931" w:rsidP="00E95E4B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C53">
        <w:rPr>
          <w:rFonts w:ascii="Times New Roman" w:hAnsi="Times New Roman" w:cs="Times New Roman"/>
          <w:sz w:val="24"/>
          <w:szCs w:val="24"/>
        </w:rPr>
        <w:t>чл. 198 НК, 200 НК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1931" w:rsidRPr="00861C53" w:rsidRDefault="00DE1931" w:rsidP="00D16FC1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C53">
        <w:rPr>
          <w:rFonts w:ascii="Times New Roman" w:hAnsi="Times New Roman" w:cs="Times New Roman"/>
          <w:sz w:val="24"/>
          <w:szCs w:val="24"/>
        </w:rPr>
        <w:t>чл.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C53">
        <w:rPr>
          <w:rFonts w:ascii="Times New Roman" w:hAnsi="Times New Roman" w:cs="Times New Roman"/>
          <w:sz w:val="24"/>
          <w:szCs w:val="24"/>
        </w:rPr>
        <w:t>201, чл.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C53">
        <w:rPr>
          <w:rFonts w:ascii="Times New Roman" w:hAnsi="Times New Roman" w:cs="Times New Roman"/>
          <w:sz w:val="24"/>
          <w:szCs w:val="24"/>
        </w:rPr>
        <w:t>202, 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C53">
        <w:rPr>
          <w:rFonts w:ascii="Times New Roman" w:hAnsi="Times New Roman" w:cs="Times New Roman"/>
          <w:sz w:val="24"/>
          <w:szCs w:val="24"/>
        </w:rPr>
        <w:t>1,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C53">
        <w:rPr>
          <w:rFonts w:ascii="Times New Roman" w:hAnsi="Times New Roman" w:cs="Times New Roman"/>
          <w:sz w:val="24"/>
          <w:szCs w:val="24"/>
        </w:rPr>
        <w:t>1 и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C53">
        <w:rPr>
          <w:rFonts w:ascii="Times New Roman" w:hAnsi="Times New Roman" w:cs="Times New Roman"/>
          <w:sz w:val="24"/>
          <w:szCs w:val="24"/>
        </w:rPr>
        <w:t>2 НК, чл.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C53">
        <w:rPr>
          <w:rFonts w:ascii="Times New Roman" w:hAnsi="Times New Roman" w:cs="Times New Roman"/>
          <w:sz w:val="24"/>
          <w:szCs w:val="24"/>
        </w:rPr>
        <w:t>202, 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C53">
        <w:rPr>
          <w:rFonts w:ascii="Times New Roman" w:hAnsi="Times New Roman" w:cs="Times New Roman"/>
          <w:sz w:val="24"/>
          <w:szCs w:val="24"/>
        </w:rPr>
        <w:t>2 НК, чл.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C53">
        <w:rPr>
          <w:rFonts w:ascii="Times New Roman" w:hAnsi="Times New Roman" w:cs="Times New Roman"/>
          <w:sz w:val="24"/>
          <w:szCs w:val="24"/>
        </w:rPr>
        <w:t>204 НК, чл.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C53">
        <w:rPr>
          <w:rFonts w:ascii="Times New Roman" w:hAnsi="Times New Roman" w:cs="Times New Roman"/>
          <w:sz w:val="24"/>
          <w:szCs w:val="24"/>
        </w:rPr>
        <w:t>205 НК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1931" w:rsidRPr="00861C53" w:rsidRDefault="00DE1931" w:rsidP="00A86E32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C53">
        <w:rPr>
          <w:rFonts w:ascii="Times New Roman" w:hAnsi="Times New Roman" w:cs="Times New Roman"/>
          <w:sz w:val="24"/>
          <w:szCs w:val="24"/>
        </w:rPr>
        <w:t>чл.206 НК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1931" w:rsidRDefault="00DE1931" w:rsidP="00A86E32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C53">
        <w:rPr>
          <w:rFonts w:ascii="Times New Roman" w:hAnsi="Times New Roman" w:cs="Times New Roman"/>
          <w:sz w:val="24"/>
          <w:szCs w:val="24"/>
        </w:rPr>
        <w:t>209 НК, чл.210, чл.211 НК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E1931" w:rsidRDefault="00DE1931" w:rsidP="00A86E32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C53">
        <w:rPr>
          <w:rFonts w:ascii="Times New Roman" w:hAnsi="Times New Roman" w:cs="Times New Roman"/>
          <w:sz w:val="24"/>
          <w:szCs w:val="24"/>
        </w:rPr>
        <w:t>чл.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C53">
        <w:rPr>
          <w:rFonts w:ascii="Times New Roman" w:hAnsi="Times New Roman" w:cs="Times New Roman"/>
          <w:sz w:val="24"/>
          <w:szCs w:val="24"/>
        </w:rPr>
        <w:t>212, 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C53">
        <w:rPr>
          <w:rFonts w:ascii="Times New Roman" w:hAnsi="Times New Roman" w:cs="Times New Roman"/>
          <w:sz w:val="24"/>
          <w:szCs w:val="24"/>
        </w:rPr>
        <w:t>1-4 НК, чл.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C53">
        <w:rPr>
          <w:rFonts w:ascii="Times New Roman" w:hAnsi="Times New Roman" w:cs="Times New Roman"/>
          <w:sz w:val="24"/>
          <w:szCs w:val="24"/>
        </w:rPr>
        <w:t>212б НК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1931" w:rsidRDefault="00DE1931" w:rsidP="00A86E32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C53">
        <w:rPr>
          <w:rFonts w:ascii="Times New Roman" w:hAnsi="Times New Roman" w:cs="Times New Roman"/>
          <w:sz w:val="24"/>
          <w:szCs w:val="24"/>
        </w:rPr>
        <w:t>чл.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C53">
        <w:rPr>
          <w:rFonts w:ascii="Times New Roman" w:hAnsi="Times New Roman" w:cs="Times New Roman"/>
          <w:sz w:val="24"/>
          <w:szCs w:val="24"/>
        </w:rPr>
        <w:t>213 НК, чл.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C53">
        <w:rPr>
          <w:rFonts w:ascii="Times New Roman" w:hAnsi="Times New Roman" w:cs="Times New Roman"/>
          <w:sz w:val="24"/>
          <w:szCs w:val="24"/>
        </w:rPr>
        <w:t>213а, 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C53">
        <w:rPr>
          <w:rFonts w:ascii="Times New Roman" w:hAnsi="Times New Roman" w:cs="Times New Roman"/>
          <w:sz w:val="24"/>
          <w:szCs w:val="24"/>
        </w:rPr>
        <w:t>1 и ал.2 НК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1931" w:rsidRDefault="00DE1931" w:rsidP="00A86E32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C53">
        <w:rPr>
          <w:rFonts w:ascii="Times New Roman" w:hAnsi="Times New Roman" w:cs="Times New Roman"/>
          <w:sz w:val="24"/>
          <w:szCs w:val="24"/>
        </w:rPr>
        <w:t>чл.214, ал.1 е 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C53">
        <w:rPr>
          <w:rFonts w:ascii="Times New Roman" w:hAnsi="Times New Roman" w:cs="Times New Roman"/>
          <w:sz w:val="24"/>
          <w:szCs w:val="24"/>
        </w:rPr>
        <w:t>3 НК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1931" w:rsidRDefault="00DE1931" w:rsidP="00A86E32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C53">
        <w:rPr>
          <w:rFonts w:ascii="Times New Roman" w:hAnsi="Times New Roman" w:cs="Times New Roman"/>
          <w:sz w:val="24"/>
          <w:szCs w:val="24"/>
        </w:rPr>
        <w:t>всички престъпления по гл. 6 НК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1931" w:rsidRDefault="00DE1931" w:rsidP="00A86E32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C53">
        <w:rPr>
          <w:rFonts w:ascii="Times New Roman" w:hAnsi="Times New Roman" w:cs="Times New Roman"/>
          <w:sz w:val="24"/>
          <w:szCs w:val="24"/>
        </w:rPr>
        <w:t>всички престъпления по гл.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C53">
        <w:rPr>
          <w:rFonts w:ascii="Times New Roman" w:hAnsi="Times New Roman" w:cs="Times New Roman"/>
          <w:sz w:val="24"/>
          <w:szCs w:val="24"/>
        </w:rPr>
        <w:t>8 НК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1931" w:rsidRDefault="00DE1931" w:rsidP="00A86E32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C53">
        <w:rPr>
          <w:rFonts w:ascii="Times New Roman" w:hAnsi="Times New Roman" w:cs="Times New Roman"/>
          <w:sz w:val="24"/>
          <w:szCs w:val="24"/>
        </w:rPr>
        <w:t>всички престъпления по гл.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C53">
        <w:rPr>
          <w:rFonts w:ascii="Times New Roman" w:hAnsi="Times New Roman" w:cs="Times New Roman"/>
          <w:sz w:val="24"/>
          <w:szCs w:val="24"/>
        </w:rPr>
        <w:t>9 НК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1931" w:rsidRDefault="00DE1931" w:rsidP="00A86E32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861C53">
        <w:rPr>
          <w:rFonts w:ascii="Times New Roman" w:hAnsi="Times New Roman" w:cs="Times New Roman"/>
          <w:sz w:val="24"/>
          <w:szCs w:val="24"/>
        </w:rPr>
        <w:t>всички престъпления по гл. 10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61C53">
        <w:rPr>
          <w:rFonts w:ascii="Times New Roman" w:hAnsi="Times New Roman" w:cs="Times New Roman"/>
          <w:sz w:val="24"/>
          <w:szCs w:val="24"/>
        </w:rPr>
        <w:t>с изключения на тези с правна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C53">
        <w:rPr>
          <w:rFonts w:ascii="Times New Roman" w:hAnsi="Times New Roman" w:cs="Times New Roman"/>
          <w:sz w:val="24"/>
          <w:szCs w:val="24"/>
        </w:rPr>
        <w:t>квалификация по чл.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C53">
        <w:rPr>
          <w:rFonts w:ascii="Times New Roman" w:hAnsi="Times New Roman" w:cs="Times New Roman"/>
          <w:sz w:val="24"/>
          <w:szCs w:val="24"/>
        </w:rPr>
        <w:t>343б, чл.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C53">
        <w:rPr>
          <w:rFonts w:ascii="Times New Roman" w:hAnsi="Times New Roman" w:cs="Times New Roman"/>
          <w:sz w:val="24"/>
          <w:szCs w:val="24"/>
        </w:rPr>
        <w:t>343в и чл.346 НК.</w:t>
      </w:r>
    </w:p>
    <w:p w:rsidR="00DE1931" w:rsidRDefault="00DE1931" w:rsidP="00A86E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A86E32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>Районен съд - гр. Тутракан ще стане териториално отделение</w:t>
      </w:r>
      <w:r w:rsidRPr="00861C53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към Районен съд - гр. Силистра. Съдиите от ТнРС  ще се включат в щата на СсРС и ще пътуват при необходимост да разглеждат дела и в двата съда. В някой случаи</w:t>
      </w: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(при използването на възможностите на електронното правосъдие)</w:t>
      </w:r>
      <w:r w:rsidRPr="00861C53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може да няма физическо присъствие на съдия. </w:t>
      </w:r>
      <w:r w:rsidRPr="00A86E32">
        <w:rPr>
          <w:rFonts w:ascii="Times New Roman" w:hAnsi="Times New Roman" w:cs="Times New Roman"/>
          <w:sz w:val="24"/>
          <w:szCs w:val="24"/>
          <w:lang w:eastAsia="bg-BG"/>
        </w:rPr>
        <w:t>Р</w:t>
      </w:r>
      <w:r w:rsidRPr="00861C53">
        <w:rPr>
          <w:rFonts w:ascii="Times New Roman" w:hAnsi="Times New Roman" w:cs="Times New Roman"/>
          <w:sz w:val="24"/>
          <w:szCs w:val="24"/>
          <w:lang w:eastAsia="bg-BG"/>
        </w:rPr>
        <w:t xml:space="preserve">азпределянето на делата е възможно по няколко начина: </w:t>
      </w:r>
    </w:p>
    <w:p w:rsidR="00DE1931" w:rsidRDefault="00DE1931" w:rsidP="00A86E32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861C53">
        <w:rPr>
          <w:rFonts w:ascii="Times New Roman" w:hAnsi="Times New Roman" w:cs="Times New Roman"/>
          <w:sz w:val="24"/>
          <w:szCs w:val="24"/>
          <w:lang w:eastAsia="bg-BG"/>
        </w:rPr>
        <w:t>Делата,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861C53">
        <w:rPr>
          <w:rFonts w:ascii="Times New Roman" w:hAnsi="Times New Roman" w:cs="Times New Roman"/>
          <w:sz w:val="24"/>
          <w:szCs w:val="24"/>
          <w:lang w:eastAsia="bg-BG"/>
        </w:rPr>
        <w:t>разглеждани в закрито заседание се разпределят между всички съдии от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р</w:t>
      </w:r>
      <w:r w:rsidRPr="00861C53">
        <w:rPr>
          <w:rFonts w:ascii="Times New Roman" w:hAnsi="Times New Roman" w:cs="Times New Roman"/>
          <w:sz w:val="24"/>
          <w:szCs w:val="24"/>
          <w:lang w:eastAsia="bg-BG"/>
        </w:rPr>
        <w:t>айонния съд;</w:t>
      </w:r>
    </w:p>
    <w:p w:rsidR="00DE1931" w:rsidRDefault="00DE1931" w:rsidP="00A86E32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861C53">
        <w:rPr>
          <w:rFonts w:ascii="Times New Roman" w:hAnsi="Times New Roman" w:cs="Times New Roman"/>
          <w:sz w:val="24"/>
          <w:szCs w:val="24"/>
          <w:lang w:eastAsia="bg-BG"/>
        </w:rPr>
        <w:t>Делата, разглеждани в открито заседание могат да се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861C53">
        <w:rPr>
          <w:rFonts w:ascii="Times New Roman" w:hAnsi="Times New Roman" w:cs="Times New Roman"/>
          <w:sz w:val="24"/>
          <w:szCs w:val="24"/>
          <w:lang w:eastAsia="bg-BG"/>
        </w:rPr>
        <w:t>разпределят или между всички съдии от районния съд или между няколко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861C53">
        <w:rPr>
          <w:rFonts w:ascii="Times New Roman" w:hAnsi="Times New Roman" w:cs="Times New Roman"/>
          <w:sz w:val="24"/>
          <w:szCs w:val="24"/>
          <w:lang w:eastAsia="bg-BG"/>
        </w:rPr>
        <w:t>съдии от всяко отделение, които ще работят за териториалното отделение за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861C53">
        <w:rPr>
          <w:rFonts w:ascii="Times New Roman" w:hAnsi="Times New Roman" w:cs="Times New Roman"/>
          <w:sz w:val="24"/>
          <w:szCs w:val="24"/>
          <w:lang w:eastAsia="bg-BG"/>
        </w:rPr>
        <w:t xml:space="preserve">определен период от време и това са </w:t>
      </w:r>
      <w:r>
        <w:rPr>
          <w:rFonts w:ascii="Times New Roman" w:hAnsi="Times New Roman" w:cs="Times New Roman"/>
          <w:sz w:val="24"/>
          <w:szCs w:val="24"/>
          <w:lang w:eastAsia="bg-BG"/>
        </w:rPr>
        <w:t>(</w:t>
      </w:r>
      <w:r w:rsidRPr="00861C53">
        <w:rPr>
          <w:rFonts w:ascii="Times New Roman" w:hAnsi="Times New Roman" w:cs="Times New Roman"/>
          <w:sz w:val="24"/>
          <w:szCs w:val="24"/>
          <w:lang w:eastAsia="bg-BG"/>
        </w:rPr>
        <w:t>т.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861C53">
        <w:rPr>
          <w:rFonts w:ascii="Times New Roman" w:hAnsi="Times New Roman" w:cs="Times New Roman"/>
          <w:sz w:val="24"/>
          <w:szCs w:val="24"/>
          <w:lang w:eastAsia="bg-BG"/>
        </w:rPr>
        <w:t>нар.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861C53">
        <w:rPr>
          <w:rFonts w:ascii="Times New Roman" w:hAnsi="Times New Roman" w:cs="Times New Roman"/>
          <w:sz w:val="24"/>
          <w:szCs w:val="24"/>
          <w:lang w:eastAsia="bg-BG"/>
        </w:rPr>
        <w:t>непостоянни състави</w:t>
      </w:r>
      <w:r>
        <w:rPr>
          <w:rFonts w:ascii="Times New Roman" w:hAnsi="Times New Roman" w:cs="Times New Roman"/>
          <w:sz w:val="24"/>
          <w:szCs w:val="24"/>
          <w:lang w:eastAsia="bg-BG"/>
        </w:rPr>
        <w:t>)</w:t>
      </w:r>
      <w:r w:rsidRPr="00861C53">
        <w:rPr>
          <w:rFonts w:ascii="Times New Roman" w:hAnsi="Times New Roman" w:cs="Times New Roman"/>
          <w:sz w:val="24"/>
          <w:szCs w:val="24"/>
          <w:lang w:eastAsia="bg-BG"/>
        </w:rPr>
        <w:t xml:space="preserve">, или </w:t>
      </w:r>
    </w:p>
    <w:p w:rsidR="00DE1931" w:rsidRDefault="00DE1931" w:rsidP="00A86E32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Р</w:t>
      </w:r>
      <w:r w:rsidRPr="00861C53">
        <w:rPr>
          <w:rFonts w:ascii="Times New Roman" w:hAnsi="Times New Roman" w:cs="Times New Roman"/>
          <w:sz w:val="24"/>
          <w:szCs w:val="24"/>
          <w:lang w:eastAsia="bg-BG"/>
        </w:rPr>
        <w:t>азпределянето на дела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може да се извърши</w:t>
      </w:r>
      <w:r w:rsidRPr="00861C53">
        <w:rPr>
          <w:rFonts w:ascii="Times New Roman" w:hAnsi="Times New Roman" w:cs="Times New Roman"/>
          <w:sz w:val="24"/>
          <w:szCs w:val="24"/>
          <w:lang w:eastAsia="bg-BG"/>
        </w:rPr>
        <w:t xml:space="preserve"> само на един съдия, който ще разглежда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861C53">
        <w:rPr>
          <w:rFonts w:ascii="Times New Roman" w:hAnsi="Times New Roman" w:cs="Times New Roman"/>
          <w:sz w:val="24"/>
          <w:szCs w:val="24"/>
          <w:lang w:eastAsia="bg-BG"/>
        </w:rPr>
        <w:t>всички видове дела в малкия районен съд за определен период от време.</w:t>
      </w:r>
    </w:p>
    <w:p w:rsidR="00DE1931" w:rsidRDefault="00DE1931" w:rsidP="00A86E32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861C53">
        <w:rPr>
          <w:rFonts w:ascii="Times New Roman" w:hAnsi="Times New Roman" w:cs="Times New Roman"/>
          <w:sz w:val="24"/>
          <w:szCs w:val="24"/>
          <w:lang w:eastAsia="bg-BG"/>
        </w:rPr>
        <w:t>Гражданските дела по дежурство, както и по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861C53">
        <w:rPr>
          <w:rFonts w:ascii="Times New Roman" w:hAnsi="Times New Roman" w:cs="Times New Roman"/>
          <w:sz w:val="24"/>
          <w:szCs w:val="24"/>
          <w:lang w:eastAsia="bg-BG"/>
        </w:rPr>
        <w:t>-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861C53">
        <w:rPr>
          <w:rFonts w:ascii="Times New Roman" w:hAnsi="Times New Roman" w:cs="Times New Roman"/>
          <w:sz w:val="24"/>
          <w:szCs w:val="24"/>
          <w:lang w:eastAsia="bg-BG"/>
        </w:rPr>
        <w:t>голямата част от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861C53">
        <w:rPr>
          <w:rFonts w:ascii="Times New Roman" w:hAnsi="Times New Roman" w:cs="Times New Roman"/>
          <w:sz w:val="24"/>
          <w:szCs w:val="24"/>
          <w:lang w:eastAsia="bg-BG"/>
        </w:rPr>
        <w:t>наказателните, също ще се разглеждат по електронен път и чрез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861C53">
        <w:rPr>
          <w:rFonts w:ascii="Times New Roman" w:hAnsi="Times New Roman" w:cs="Times New Roman"/>
          <w:sz w:val="24"/>
          <w:szCs w:val="24"/>
          <w:lang w:eastAsia="bg-BG"/>
        </w:rPr>
        <w:t>видеоконференция, когато се налага. По преценка на конкретния докладчик,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861C53">
        <w:rPr>
          <w:rFonts w:ascii="Times New Roman" w:hAnsi="Times New Roman" w:cs="Times New Roman"/>
          <w:sz w:val="24"/>
          <w:szCs w:val="24"/>
          <w:lang w:eastAsia="bg-BG"/>
        </w:rPr>
        <w:t>делото винаги може да се разгледа и на място в териториалното отделение.</w:t>
      </w:r>
    </w:p>
    <w:p w:rsidR="00DE1931" w:rsidRDefault="00DE1931" w:rsidP="00A86E32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861C53">
        <w:rPr>
          <w:rFonts w:ascii="Times New Roman" w:hAnsi="Times New Roman" w:cs="Times New Roman"/>
          <w:sz w:val="24"/>
          <w:szCs w:val="24"/>
          <w:lang w:eastAsia="bg-BG"/>
        </w:rPr>
        <w:t>Всички дела, които следва да бъдат разглеждани в открито съдебно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861C53">
        <w:rPr>
          <w:rFonts w:ascii="Times New Roman" w:hAnsi="Times New Roman" w:cs="Times New Roman"/>
          <w:sz w:val="24"/>
          <w:szCs w:val="24"/>
          <w:lang w:eastAsia="bg-BG"/>
        </w:rPr>
        <w:t>заседание, ще се разглеждат или на място в териториалното отделение, или чрез видеоконферентна връзка.</w:t>
      </w:r>
    </w:p>
    <w:p w:rsidR="00DE1931" w:rsidRDefault="00DE1931" w:rsidP="00A86E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A86E32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Деловодни функции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- Т</w:t>
      </w:r>
      <w:r w:rsidRPr="00861C53">
        <w:rPr>
          <w:rFonts w:ascii="Times New Roman" w:hAnsi="Times New Roman" w:cs="Times New Roman"/>
          <w:sz w:val="24"/>
          <w:szCs w:val="24"/>
          <w:lang w:eastAsia="bg-BG"/>
        </w:rPr>
        <w:t xml:space="preserve">ериториалното </w:t>
      </w:r>
      <w:r>
        <w:rPr>
          <w:rFonts w:ascii="Times New Roman" w:hAnsi="Times New Roman" w:cs="Times New Roman"/>
          <w:sz w:val="24"/>
          <w:szCs w:val="24"/>
          <w:lang w:eastAsia="bg-BG"/>
        </w:rPr>
        <w:t>отделение ще може</w:t>
      </w:r>
      <w:r w:rsidRPr="00861C53">
        <w:rPr>
          <w:rFonts w:ascii="Times New Roman" w:hAnsi="Times New Roman" w:cs="Times New Roman"/>
          <w:sz w:val="24"/>
          <w:szCs w:val="24"/>
          <w:lang w:eastAsia="bg-BG"/>
        </w:rPr>
        <w:t xml:space="preserve"> не само да приема книжа по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861C53">
        <w:rPr>
          <w:rFonts w:ascii="Times New Roman" w:hAnsi="Times New Roman" w:cs="Times New Roman"/>
          <w:sz w:val="24"/>
          <w:szCs w:val="24"/>
          <w:lang w:eastAsia="bg-BG"/>
        </w:rPr>
        <w:t>всички видове дела на районния съд и да предоставя информация и услуги,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861C53">
        <w:rPr>
          <w:rFonts w:ascii="Times New Roman" w:hAnsi="Times New Roman" w:cs="Times New Roman"/>
          <w:sz w:val="24"/>
          <w:szCs w:val="24"/>
          <w:lang w:eastAsia="bg-BG"/>
        </w:rPr>
        <w:t>както досега, но и чрез него да е възможно подаването на книжа до всички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861C53">
        <w:rPr>
          <w:rFonts w:ascii="Times New Roman" w:hAnsi="Times New Roman" w:cs="Times New Roman"/>
          <w:sz w:val="24"/>
          <w:szCs w:val="24"/>
          <w:lang w:eastAsia="bg-BG"/>
        </w:rPr>
        <w:t>инстанции в съответния апелативен район. В териториалното отделение ще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861C53">
        <w:rPr>
          <w:rFonts w:ascii="Times New Roman" w:hAnsi="Times New Roman" w:cs="Times New Roman"/>
          <w:sz w:val="24"/>
          <w:szCs w:val="24"/>
          <w:lang w:eastAsia="bg-BG"/>
        </w:rPr>
        <w:t>могат да се преглеждат всички дела, да се получава информация, да се подават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861C53">
        <w:rPr>
          <w:rFonts w:ascii="Times New Roman" w:hAnsi="Times New Roman" w:cs="Times New Roman"/>
          <w:sz w:val="24"/>
          <w:szCs w:val="24"/>
          <w:lang w:eastAsia="bg-BG"/>
        </w:rPr>
        <w:t>съдебни книжа, да се предоставят повече от предоставяните към момента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861C53">
        <w:rPr>
          <w:rFonts w:ascii="Times New Roman" w:hAnsi="Times New Roman" w:cs="Times New Roman"/>
          <w:sz w:val="24"/>
          <w:szCs w:val="24"/>
          <w:lang w:eastAsia="bg-BG"/>
        </w:rPr>
        <w:t>съдебни услуги не само за една инстанция.</w:t>
      </w:r>
    </w:p>
    <w:p w:rsidR="00DE1931" w:rsidRDefault="00DE1931" w:rsidP="00A86E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A86E32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В териториалните отделение следва да се запази минимален брой специализирана администрация</w:t>
      </w:r>
      <w:r w:rsidRPr="00861C53">
        <w:rPr>
          <w:rFonts w:ascii="Times New Roman" w:hAnsi="Times New Roman" w:cs="Times New Roman"/>
          <w:sz w:val="24"/>
          <w:szCs w:val="24"/>
          <w:lang w:eastAsia="bg-BG"/>
        </w:rPr>
        <w:t>: деловодител, секретар и призовкар.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Ще бъдат извършени промени и в общата администрация.</w:t>
      </w:r>
    </w:p>
    <w:p w:rsidR="00DE1931" w:rsidRPr="00E95E4B" w:rsidRDefault="00DE1931" w:rsidP="00A86E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Голям част от районните съдии ще бъдат повишени в окръжни съдии, а от окръжните съдии - в апелативни, </w:t>
      </w:r>
      <w:r w:rsidRPr="00E95E4B">
        <w:rPr>
          <w:rFonts w:ascii="Times New Roman" w:hAnsi="Times New Roman" w:cs="Times New Roman"/>
          <w:sz w:val="24"/>
          <w:szCs w:val="24"/>
          <w:lang w:eastAsia="bg-BG"/>
        </w:rPr>
        <w:t xml:space="preserve">като за целта щатовете на съответните институции ще се увеличат. Предлага се провеждането на специални конкурсни процедури за този вид повишаване на магистратите. </w:t>
      </w:r>
    </w:p>
    <w:p w:rsidR="00DE1931" w:rsidRPr="00861C53" w:rsidRDefault="00DE1931" w:rsidP="00A86E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Посочено е, че </w:t>
      </w:r>
      <w:r w:rsidRPr="00861C53">
        <w:rPr>
          <w:rFonts w:ascii="Times New Roman" w:hAnsi="Times New Roman" w:cs="Times New Roman"/>
          <w:sz w:val="24"/>
          <w:szCs w:val="24"/>
          <w:lang w:eastAsia="bg-BG"/>
        </w:rPr>
        <w:t>ЧСИ, ДСИ и всякакви публични служби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няма да бъдат засегнати от реформата.</w:t>
      </w:r>
    </w:p>
    <w:p w:rsidR="00DE1931" w:rsidRPr="00861C53" w:rsidRDefault="00DE1931" w:rsidP="00BA50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E1931" w:rsidRPr="00861C53" w:rsidSect="00FA3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97F41"/>
    <w:multiLevelType w:val="multilevel"/>
    <w:tmpl w:val="EAE049C8"/>
    <w:lvl w:ilvl="0">
      <w:start w:val="1"/>
      <w:numFmt w:val="decimal"/>
      <w:isLgl/>
      <w:suff w:val="space"/>
      <w:lvlText w:val="%1."/>
      <w:lvlJc w:val="left"/>
      <w:pPr>
        <w:ind w:firstLine="720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firstLine="907"/>
      </w:pPr>
      <w:rPr>
        <w:rFonts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firstLine="1758"/>
      </w:pPr>
      <w:rPr>
        <w:rFonts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6B2377A"/>
    <w:multiLevelType w:val="multilevel"/>
    <w:tmpl w:val="BF3E3226"/>
    <w:lvl w:ilvl="0">
      <w:start w:val="1"/>
      <w:numFmt w:val="decimal"/>
      <w:isLgl/>
      <w:suff w:val="space"/>
      <w:lvlText w:val="%1."/>
      <w:lvlJc w:val="left"/>
      <w:pPr>
        <w:ind w:firstLine="720"/>
      </w:pPr>
      <w:rPr>
        <w:rFonts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firstLine="907"/>
      </w:pPr>
      <w:rPr>
        <w:rFonts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firstLine="1758"/>
      </w:pPr>
      <w:rPr>
        <w:rFonts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B0F68CD"/>
    <w:multiLevelType w:val="multilevel"/>
    <w:tmpl w:val="EAE049C8"/>
    <w:lvl w:ilvl="0">
      <w:start w:val="1"/>
      <w:numFmt w:val="decimal"/>
      <w:isLgl/>
      <w:suff w:val="space"/>
      <w:lvlText w:val="%1."/>
      <w:lvlJc w:val="left"/>
      <w:pPr>
        <w:ind w:firstLine="720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firstLine="907"/>
      </w:pPr>
      <w:rPr>
        <w:rFonts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firstLine="1758"/>
      </w:pPr>
      <w:rPr>
        <w:rFonts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3D1504BA"/>
    <w:multiLevelType w:val="multilevel"/>
    <w:tmpl w:val="EAC66520"/>
    <w:lvl w:ilvl="0">
      <w:start w:val="1"/>
      <w:numFmt w:val="decimal"/>
      <w:isLgl/>
      <w:suff w:val="space"/>
      <w:lvlText w:val="%1."/>
      <w:lvlJc w:val="left"/>
      <w:pPr>
        <w:ind w:firstLine="720"/>
      </w:pPr>
      <w:rPr>
        <w:b/>
        <w:bCs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firstLine="907"/>
      </w:pPr>
      <w:rPr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firstLine="1758"/>
      </w:pPr>
      <w:rPr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4E125FD1"/>
    <w:multiLevelType w:val="multilevel"/>
    <w:tmpl w:val="BF3E3226"/>
    <w:lvl w:ilvl="0">
      <w:start w:val="1"/>
      <w:numFmt w:val="decimal"/>
      <w:isLgl/>
      <w:suff w:val="space"/>
      <w:lvlText w:val="%1."/>
      <w:lvlJc w:val="left"/>
      <w:pPr>
        <w:ind w:firstLine="720"/>
      </w:pPr>
      <w:rPr>
        <w:rFonts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firstLine="907"/>
      </w:pPr>
      <w:rPr>
        <w:rFonts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firstLine="1758"/>
      </w:pPr>
      <w:rPr>
        <w:rFonts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76BF56B1"/>
    <w:multiLevelType w:val="multilevel"/>
    <w:tmpl w:val="0FFE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02E"/>
    <w:rsid w:val="00051C84"/>
    <w:rsid w:val="0009202E"/>
    <w:rsid w:val="000C0D42"/>
    <w:rsid w:val="00305600"/>
    <w:rsid w:val="00455482"/>
    <w:rsid w:val="00582AFB"/>
    <w:rsid w:val="00785A38"/>
    <w:rsid w:val="007B684D"/>
    <w:rsid w:val="007D4016"/>
    <w:rsid w:val="007D46D7"/>
    <w:rsid w:val="00861C53"/>
    <w:rsid w:val="0090291D"/>
    <w:rsid w:val="009F5FBB"/>
    <w:rsid w:val="00A36D0C"/>
    <w:rsid w:val="00A72351"/>
    <w:rsid w:val="00A86E32"/>
    <w:rsid w:val="00B4277A"/>
    <w:rsid w:val="00BA50D1"/>
    <w:rsid w:val="00D06C99"/>
    <w:rsid w:val="00D16FC1"/>
    <w:rsid w:val="00DE1931"/>
    <w:rsid w:val="00E81953"/>
    <w:rsid w:val="00E95E4B"/>
    <w:rsid w:val="00F94BB6"/>
    <w:rsid w:val="00FA3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C6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CharCharCharChar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02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99"/>
    <w:qFormat/>
    <w:rsid w:val="0090291D"/>
    <w:rPr>
      <w:i/>
      <w:iCs/>
    </w:rPr>
  </w:style>
  <w:style w:type="character" w:styleId="Hyperlink">
    <w:name w:val="Hyperlink"/>
    <w:basedOn w:val="DefaultParagraphFont"/>
    <w:uiPriority w:val="99"/>
    <w:semiHidden/>
    <w:rsid w:val="0090291D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90291D"/>
    <w:rPr>
      <w:b/>
      <w:bCs/>
    </w:rPr>
  </w:style>
  <w:style w:type="paragraph" w:customStyle="1" w:styleId="CharCharCharChar">
    <w:name w:val="Знак Знак Char Char Знак Знак Char Char"/>
    <w:basedOn w:val="Normal"/>
    <w:link w:val="DefaultParagraphFont"/>
    <w:uiPriority w:val="99"/>
    <w:rsid w:val="00D16FC1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51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ss.justice.bg/root/f/upload/31/doklad-model-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173</TotalTime>
  <Pages>2</Pages>
  <Words>642</Words>
  <Characters>3660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- 10</dc:creator>
  <cp:keywords/>
  <dc:description/>
  <cp:lastModifiedBy>Потребител на Windows</cp:lastModifiedBy>
  <cp:revision>13</cp:revision>
  <dcterms:created xsi:type="dcterms:W3CDTF">2021-05-25T13:42:00Z</dcterms:created>
  <dcterms:modified xsi:type="dcterms:W3CDTF">2021-05-26T09:14:00Z</dcterms:modified>
</cp:coreProperties>
</file>